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0067-01-2025-002627-24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Манушак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5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5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ОГРНИП </w:t>
      </w:r>
      <w:r>
        <w:rPr>
          <w:rStyle w:val="cat-UserDefinedgrp-5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специалиста –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устранить допущенное нарушение,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департаментом архитектуры и градостроительства Администрации города Сургута эскизный проект некапитального строения, сооружения в порядке, установленном муниципальным правовым актом,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демонтировал нестационарный торговый 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UserDefinedgrp-5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с кадастровым номером </w:t>
      </w:r>
      <w:r>
        <w:rPr>
          <w:rStyle w:val="cat-UserDefinedgrp-5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требования, предусмотренные ч. 5 ст. 16 Правил благоустройства территории города Сургута, утвержденных решением Думы города от 26.12.2017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«О Правилах благоустройства территории города Сургута», которым установлено обязательное условие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размещения некапитального строения, сооружения на территории города Сургута (за исключением летних кафе при стационарных предприятия общественного питания)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согласованного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департаментом архитектуры и градостроительства Администрации города эскизного проекта некапитального строения, сооружения в порядке, установленном правовым актом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45 от 29.04</w:t>
      </w:r>
      <w:r>
        <w:rPr>
          <w:rFonts w:ascii="Times New Roman" w:eastAsia="Times New Roman" w:hAnsi="Times New Roman" w:cs="Times New Roman"/>
          <w:sz w:val="28"/>
          <w:szCs w:val="28"/>
        </w:rPr>
        <w:t>.2025г.;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№ 33 от 14.02.2025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от 06.02.2025;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аренды от 25.04.2017;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39 от 13.02.2025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47 от 13.02.2025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таблицей;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задание на проведение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 проведении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114 от 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фото-таблицей;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 инспектора отдела муниципального жилищного контроля контрольного управления Администрации города Сургута Большакова А.А.;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 директора Департамента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разрешения на установку торгового нестационарного объекта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 ул. Республики, д. 76/1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ЕГРИП;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ЕГРН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 </w:t>
      </w:r>
      <w:r>
        <w:rPr>
          <w:rStyle w:val="cat-UserDefinedgrp-55rplc-5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 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 "О государственном контроле (надзоре) и муниципальном контроле в Российской Федерации"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336 "Об особенностях организации и осуществления государственного контроля (надзора), муниципального контроля"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 и настоящим постановлением.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>5. Правил благоустройства территории города Сургута, утвержденных Решением Думы г. Сургута от 26 декабря 2017 г. N 206-VI ДГ обязательным 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отдела муниципального жилищного контроля контрольного управления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Большакова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14.02.2025 № 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устранить нарушения: согласовать с департаментом архитектуры и градостроительства Администрации города Сургута эскизный проект некапитального строения, сооружения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муниципальным правовым актом, расположенного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у: ХМА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-Югра г. Сургут ул. Республики, д. 76/1</w:t>
      </w:r>
      <w:r>
        <w:rPr>
          <w:rFonts w:ascii="Times New Roman" w:eastAsia="Times New Roman" w:hAnsi="Times New Roman" w:cs="Times New Roman"/>
          <w:sz w:val="28"/>
          <w:szCs w:val="28"/>
        </w:rPr>
        <w:t>, либо демонтировать нестационарный торговый объект. А</w:t>
      </w:r>
      <w:r>
        <w:rPr>
          <w:rFonts w:ascii="Times New Roman" w:eastAsia="Times New Roman" w:hAnsi="Times New Roman" w:cs="Times New Roman"/>
          <w:sz w:val="28"/>
          <w:szCs w:val="28"/>
        </w:rPr>
        <w:t>ктом № 114 от 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 проведении выездного обследования установлено, что предписа</w:t>
      </w:r>
      <w:r>
        <w:rPr>
          <w:rFonts w:ascii="Times New Roman" w:eastAsia="Times New Roman" w:hAnsi="Times New Roman" w:cs="Times New Roman"/>
          <w:sz w:val="28"/>
          <w:szCs w:val="28"/>
        </w:rPr>
        <w:t>ние должностного лица №33 от 14.02.2025 в срок до 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19.5 КоАП РФ -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Зороглян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Манушак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ст.19.5 КоАП РФ, и назначить административное наказание в виде штрафа в размере 1000 (одной тысячи)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1160119301005140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0412365400675007142519181.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4285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UserDefinedgrp-49rplc-12">
    <w:name w:val="cat-UserDefined grp-49 rplc-12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19">
    <w:name w:val="cat-UserDefined grp-51 rplc-19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3rplc-28">
    <w:name w:val="cat-UserDefined grp-53 rplc-28"/>
    <w:basedOn w:val="DefaultParagraphFont"/>
  </w:style>
  <w:style w:type="character" w:customStyle="1" w:styleId="cat-UserDefinedgrp-54rplc-30">
    <w:name w:val="cat-UserDefined grp-54 rplc-30"/>
    <w:basedOn w:val="DefaultParagraphFont"/>
  </w:style>
  <w:style w:type="character" w:customStyle="1" w:styleId="cat-UserDefinedgrp-55rplc-55">
    <w:name w:val="cat-UserDefined grp-55 rplc-5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F398-23DC-4BDD-A9FE-639C663E6D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